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114300" distR="114300">
            <wp:extent cx="567055" cy="508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50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di Scuola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Istituto Comprensivo di Scuola Infanzia, Primaria e Secondaria di I° grado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Giosuè Carducci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Marconi, 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57036 PORTO AZZURRO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9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tel. 0565/95460 - fax 0565/95058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9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C.F. 82002290490  -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9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univoco Ufficio UFDGRX - Codice IPA istsc_liic805001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9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www.icportoazzurro.edu.it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LIIC805001@istruzione.it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Posta Certificata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LIIC805001@PEC.ISTRUZIONE.IT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69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851"/>
        <w:gridCol w:w="3780"/>
        <w:gridCol w:w="2147"/>
        <w:tblGridChange w:id="0">
          <w:tblGrid>
            <w:gridCol w:w="3851"/>
            <w:gridCol w:w="3780"/>
            <w:gridCol w:w="214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6699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MATERIALI E SUSSIDI DA ORDINARE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99cc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Progetto “……………………………………...”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referente: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Plesso 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anno scolastico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44"/>
        <w:gridCol w:w="7334"/>
        <w:tblGridChange w:id="0">
          <w:tblGrid>
            <w:gridCol w:w="2444"/>
            <w:gridCol w:w="733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SPESA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BENI DI CONSUMO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30"/>
        <w:gridCol w:w="4848"/>
        <w:tblGridChange w:id="0">
          <w:tblGrid>
            <w:gridCol w:w="4930"/>
            <w:gridCol w:w="48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99ccff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9cc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PREVENTIVI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9ccff" w:val="clear"/>
                <w:vertAlign w:val="baseline"/>
                <w:rtl w:val="0"/>
              </w:rPr>
              <w:t xml:space="preserve">ALLEGATI ALLA PRESENTE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RICHIESTA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9cc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(indicare il nome del negozio o del catalogo)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  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99cc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99ccff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DICHIARAZIONE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dichiara che il materiale richiesto: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 didatticamente valido;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risulta già in dotazione al plesso ovvero è già in dotazione al plesso, ma necessita di sostituzione o di potenziamento.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Vista la tipologia del materiale da acquistare e dopo aver verificato i prezzi praticati dai suddetti  negozi/cataloghi, il materiale dovrà essere ordinato presso: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i seguenti motivi: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  prezzi più convenienti;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  maggiore assortimento degli articoli;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  esclusività degli articoli;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  altro (specificare).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RESPONSABILE DI PROGETTO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tbl>
      <w:tblPr>
        <w:tblStyle w:val="Table5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720"/>
        <w:gridCol w:w="1080"/>
        <w:gridCol w:w="720"/>
        <w:gridCol w:w="1260"/>
        <w:gridCol w:w="1260"/>
        <w:tblGridChange w:id="0">
          <w:tblGrid>
            <w:gridCol w:w="4788"/>
            <w:gridCol w:w="720"/>
            <w:gridCol w:w="1080"/>
            <w:gridCol w:w="720"/>
            <w:gridCol w:w="1260"/>
            <w:gridCol w:w="1260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99cc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NEGOZIO o CATALOGO: 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ARTICOLO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q.tà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prezzo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riportare o 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prezzo degli articoli di seguito elencati è :         □  IVA ESCLUSA          □  IVA INCLUSA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DI PROGETTO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_______________________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LIIC805001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